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УТВЕРЖДЕНА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Лазовского муниципального </w:t>
      </w:r>
      <w:r>
        <w:rPr>
          <w:color w:val="000000"/>
          <w:sz w:val="24"/>
          <w:szCs w:val="24"/>
        </w:rPr>
        <w:t>округа</w:t>
      </w:r>
    </w:p>
    <w:p>
      <w:pPr>
        <w:pStyle w:val="Normal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От 13.11.2024 г. № 829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 xml:space="preserve">                                                                                                                            </w:t>
      </w:r>
      <w:r>
        <w:rPr/>
        <w:t>внесены изменения от 22.08.2025г. № 865</w:t>
      </w:r>
      <w:r>
        <w:rPr/>
        <w:t xml:space="preserve">                                                                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sz w:val="26"/>
          <w:szCs w:val="26"/>
        </w:rPr>
        <w:t>МУНИЦИПАЛЬНАЯ ПРОГРАММА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«Развитие дорожного комплекса на территории Лазовского муниципального </w:t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округа» на 2025-2029 гг.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 xml:space="preserve">Стратегические приоритеты муниципальной программы </w:t>
      </w:r>
    </w:p>
    <w:p>
      <w:pPr>
        <w:pStyle w:val="Normal"/>
        <w:jc w:val="center"/>
        <w:rPr/>
      </w:pPr>
      <w:r>
        <w:rPr>
          <w:sz w:val="26"/>
          <w:szCs w:val="26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ind w:left="720" w:hanging="0"/>
        <w:jc w:val="both"/>
        <w:rPr/>
      </w:pPr>
      <w:r>
        <w:rPr>
          <w:b/>
          <w:sz w:val="26"/>
          <w:szCs w:val="26"/>
        </w:rPr>
        <w:t xml:space="preserve">1. Оценка текущего состояния. </w:t>
      </w:r>
    </w:p>
    <w:p>
      <w:pPr>
        <w:pStyle w:val="Normal"/>
        <w:ind w:left="720" w:hanging="0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Общее состояние дорожного покрытия: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Оценка: Удовлетворительное.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Описание: Большинство дорог находятся в удовлетворительном состоянии, однако имеются участки с плохим качеством покрытия, которые нуждаются в ремонте или реконструкции.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Безопасность дорожного движения: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Оценка: Удовлетворительная.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Описание: Несмотря на то, что в Лазовском муниципальном округе проводится работа по обеспечению безопасности дорожного движения, остаются участки дорог с высоким риском аварийных ситуаций. Необходимо усовершенствовать инфраструктуру этих участков, установить дополнительные дорожные знаки и системы освещения для повышения безопасности дорожного движения.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Состояние дорожной инфраструктуры: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Оценка: Удовлетворительное.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Описание: Большинство дорог в Лазовском муниципальном округе оборудованы необходимой инфраструктурой, такой как тротуары, пешеходные переходы, дорожные знаки и освещение. Однако имеются участки, где инфраструктура требует ремонта или модернизации для повышения безопасности и комфорта передвижения.</w:t>
      </w:r>
    </w:p>
    <w:p>
      <w:pPr>
        <w:pStyle w:val="Normal"/>
        <w:spacing w:lineRule="auto" w:line="276"/>
        <w:jc w:val="both"/>
        <w:rPr>
          <w:sz w:val="26"/>
          <w:szCs w:val="26"/>
        </w:rPr>
      </w:pPr>
      <w:r>
        <w:rPr>
          <w:sz w:val="26"/>
          <w:szCs w:val="26"/>
        </w:rPr>
        <w:t>В целом, состояние дорог местного значения в Лазовском муниципальном округе можно охарактеризовать как удовлетворительное, но требующее улучшений и усовершенствований для повышения безопасности, комфорта и удобства передвижения, а также для снижения воздействия дорожного движения на окружающую среду.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Cs/>
          <w:color w:val="000000"/>
          <w:spacing w:val="1"/>
          <w:sz w:val="26"/>
          <w:szCs w:val="26"/>
        </w:rPr>
      </w:pPr>
      <w:r>
        <w:rPr>
          <w:b/>
          <w:bCs/>
          <w:color w:val="000000"/>
          <w:spacing w:val="1"/>
          <w:sz w:val="26"/>
          <w:szCs w:val="26"/>
        </w:rPr>
        <w:t>2. Описание приоритетов и целей в сфере реализации программы</w:t>
      </w:r>
    </w:p>
    <w:p>
      <w:pPr>
        <w:pStyle w:val="Normal"/>
        <w:ind w:firstLine="840"/>
        <w:jc w:val="both"/>
        <w:rPr/>
      </w:pPr>
      <w:r>
        <w:rPr/>
      </w:r>
    </w:p>
    <w:p>
      <w:pPr>
        <w:pStyle w:val="Normal"/>
        <w:spacing w:lineRule="auto" w:line="276"/>
        <w:ind w:firstLine="709"/>
        <w:jc w:val="both"/>
        <w:rPr/>
      </w:pPr>
      <w:r>
        <w:rPr>
          <w:color w:val="000000"/>
          <w:spacing w:val="1"/>
          <w:sz w:val="26"/>
          <w:szCs w:val="26"/>
        </w:rPr>
        <w:t>Сеть автомобильных дорог - важнейший элемент экономики муниципального образования. Ее эффективное функционирование и устойчивое развитие являются необходимым условием перехода к экономическому росту, повышению уровня и улучшения условий жизни жителей округа. Дорожно-уличная сеть населенных пунктов на сегодняшний день не соответствует экономическим потребностям населения округа. В связи с постоянным недофинансированием работ капитального характера увеличивается наличие дефектов дорожного полотна, недопустимых по условиям обеспечения безопасности дорожного движения. В течение последних десяти лет количество автомобилей в населенных пунктах округа стремительно увеличилось.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sz w:val="26"/>
          <w:szCs w:val="26"/>
        </w:rPr>
        <w:t>Автомобильные дороги подвержены постоянному изменению технико-эксплутационного состояния  в связи с тем, что они подвержены влиянию окружающей среды, хозяйственной деятельности человека и постоянному воздействию транспортных средств. Для соответствия нормативным требованиям необходимо выполнение различных целей: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Содержание автомобильных дорог</w:t>
      </w:r>
      <w:r>
        <w:rPr>
          <w:sz w:val="26"/>
          <w:szCs w:val="26"/>
        </w:rPr>
        <w:t xml:space="preserve"> –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Ремонт автомобильной дороги</w:t>
      </w:r>
      <w:r>
        <w:rPr>
          <w:sz w:val="26"/>
          <w:szCs w:val="26"/>
        </w:rPr>
        <w:t xml:space="preserve"> – комплекс работ по восстановлению транспортно - эксплуатационных 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Капитальный ремонт автомобильной дороги</w:t>
      </w:r>
      <w:r>
        <w:rPr>
          <w:sz w:val="26"/>
          <w:szCs w:val="26"/>
        </w:rPr>
        <w:t xml:space="preserve"> – комплекс работ по замене и восстановлению конструктивных элементов автомобильной дороги, дорожных сооружений и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дороги, не изменяются границы полосы отвода автомобильной дороги.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Реконструкция автомобильной дороги</w:t>
      </w:r>
      <w:r>
        <w:rPr>
          <w:sz w:val="26"/>
          <w:szCs w:val="26"/>
        </w:rPr>
        <w:t xml:space="preserve"> – комплекс работ, при выполнении которых осуществляются изменения параметров автомобильной дороги, ее участков, ведущие к изменению класса или категории автомобильной дороги либо влекущие за собой изменение границы полосы отвода автомобильной дороги.</w:t>
      </w:r>
    </w:p>
    <w:p>
      <w:pPr>
        <w:pStyle w:val="NormalWeb"/>
        <w:spacing w:lineRule="auto" w:line="276" w:before="0" w:after="0"/>
        <w:ind w:firstLine="840"/>
        <w:jc w:val="both"/>
        <w:rPr/>
      </w:pPr>
      <w:r>
        <w:rPr>
          <w:color w:val="000000"/>
          <w:sz w:val="26"/>
          <w:szCs w:val="26"/>
        </w:rPr>
        <w:t>Разработка и реализация Программы позволят комплексно подойти к развитию улично-дорожной сети, обеспечить их согласованное развитие и функционирование, соответственно, более эффективное использование финансовых и материальных ресурсов. Процесс совершенствования улично-дорожной сети окажет существенное влияние на социально-экономическое развитие муниципального образования.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color w:val="000000"/>
          <w:spacing w:val="1"/>
          <w:sz w:val="26"/>
          <w:szCs w:val="26"/>
        </w:rPr>
        <w:t>Сохранение существующей дорожной инфраструктуры возможно при достаточном финансировании мероприятий направленных на содержание и ремонт дорожного хозяйства округа.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Повышение эффективности местного пассажирского автомобильного транспортом сообщения.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В рамках решения задачи программой предусмотрен комплекс процессных мероприятий "Организация пригородного сообщении автомобильным транспортом на территории Лазовского муниципального округа", мероприятие - "Субсидии из краевого бюджета на перевозки пассажиров и багажа наземным автомобильным общественным транспортом» на возмещение недополученных доходов в связи с перевозкой пассажиров транспортом общего пользования в пригородном сообщении на территории Лазовского муниципального округа по предельным тарифам".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Улучшение доступности населенных пунктов.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приобретение подвижного состава пассажирского транспорта общего пользования (автобусов), за счет дорожного фонда Приморского края;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приобретение специализированной дорожной техники за счет дорожного фонда Приморского края;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создание условий для предоставления транспортных услуг населению в границах муниципальных образований Лазовского муниципального округа.</w:t>
      </w:r>
    </w:p>
    <w:p>
      <w:pPr>
        <w:pStyle w:val="ConsPlusNormal"/>
        <w:spacing w:lineRule="auto" w:line="276"/>
        <w:ind w:firstLine="540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В число приоритетов входят: повышение  уровня и качества  жизни населения  Лазовского муниципального округа, улучшение  инвестиционной    привлекательности округа, эффективное использование бюджетных средств.</w:t>
      </w:r>
    </w:p>
    <w:p>
      <w:pPr>
        <w:pStyle w:val="ConsPlusNormal"/>
        <w:spacing w:lineRule="auto" w:line="276"/>
        <w:ind w:firstLine="540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Задачи муниципального управления, способы их эффективного решения</w:t>
      </w:r>
    </w:p>
    <w:p>
      <w:pPr>
        <w:pStyle w:val="ListParagraph"/>
        <w:rPr/>
      </w:pPr>
      <w:r>
        <w:rPr/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В соответствии с приоритетами государственной политики, в сфере развития транспортного комплекса Приморского края определены исходя из долгосрочных приоритетов, закрепленных в следующих стратегических документах: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Конституции Российской Федерации;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указах Президента Российской Федерации от 7 мая 2012 года N 596 "О долгосрочной государственной экономической политике", от 7 мая 2018 года; N 204 "О национальных целях и стратегических задачах развития Российской Федерации на период до 2024 года", от 21 июля 2020 года N 474 "О национальных целях развития Российской Федерации на период до 2030 года";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Национальной программе социально-экономического развития Дальнего Востока на период до 2024 года и на перспективу до 2035 года, утвержденной Распоряжением Правительства Российской Федерации от 24 сентября 2020 года N 2464-р;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Транспортной стратегии Российской Федерации на период до 2030 года с прогнозом до 2035 года, утвержденной Распоряжением Правительства Российской Федерации от 27 ноября 2021 года N 3363-р;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Стратегии социально-экономического развития Дальнего Востока и Байкальского региона на период до 2025 года, утвержденной Распоряжением Правительства Российской Федерации от 28 декабря 2009 года N 2094-р;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государственной программе Российской Федерации "Развитие транспортной системы", утвержденной Постановлением Правительства Российской Федерации от 20 декабря 2017 года N 1596;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Стратегии социально-экономического развития Приморского края до 2030 года, утвержденной постановлением Администрации Приморского края от 28 декабря 2018 года N 668-па. к основным приоритетам муниципальной политики отнесено обеспечение высокого уровня жизни в населенных пунктах Приморского края посредством проведения мероприятий по решению проблем транспортной доступности и адекватного развития инфраструктуры в условиях естественной монополии обслуживания компаний в рамках территориального планирования в соответствии с генеральным планом Лазовского муниципального округа.</w:t>
      </w:r>
    </w:p>
    <w:p>
      <w:pPr>
        <w:pStyle w:val="Normal"/>
        <w:widowControl w:val="false"/>
        <w:spacing w:lineRule="auto" w:line="276"/>
        <w:ind w:firstLine="540"/>
        <w:jc w:val="both"/>
        <w:rPr/>
      </w:pPr>
      <w:r>
        <w:rPr>
          <w:rFonts w:cs="Calibri"/>
          <w:sz w:val="26"/>
          <w:szCs w:val="26"/>
        </w:rPr>
        <w:t xml:space="preserve">Основные приоритеты экономического развития Лазовского муниципального  округа  определены с учетом задач, поставленных  в Посланиях Президента Российской Федерации Федеральному Собранию Российской Федерации, Концепции долгосрочного социально-экономического развития Российской Федерации. </w:t>
      </w:r>
    </w:p>
    <w:p>
      <w:pPr>
        <w:pStyle w:val="Normal"/>
        <w:widowControl w:val="false"/>
        <w:spacing w:lineRule="auto" w:line="276"/>
        <w:ind w:firstLine="540"/>
        <w:jc w:val="both"/>
        <w:rPr/>
      </w:pPr>
      <w:r>
        <w:rPr>
          <w:rFonts w:cs="Calibri"/>
          <w:sz w:val="26"/>
          <w:szCs w:val="26"/>
        </w:rPr>
        <w:t>Задачи муниципальной программы:</w:t>
      </w:r>
    </w:p>
    <w:p>
      <w:pPr>
        <w:pStyle w:val="Normal"/>
        <w:spacing w:lineRule="auto" w:line="276"/>
        <w:jc w:val="both"/>
        <w:rPr/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организация дорожной деятельности в отношении автомобильных дорог местного значения в границах населенных пунктов Лазовского муниципального округа;</w:t>
      </w:r>
    </w:p>
    <w:p>
      <w:pPr>
        <w:pStyle w:val="Normal"/>
        <w:spacing w:lineRule="auto" w:line="276"/>
        <w:jc w:val="both"/>
        <w:rPr/>
      </w:pPr>
      <w:r>
        <w:rPr>
          <w:color w:val="000000"/>
          <w:sz w:val="26"/>
          <w:szCs w:val="26"/>
        </w:rPr>
        <w:t>- совершенствование организации дорожной деятельности в отношении автомобильных дорог местного значения в границах населенных пунктов Лазовского муниципального округа;</w:t>
      </w:r>
    </w:p>
    <w:p>
      <w:pPr>
        <w:pStyle w:val="Normal"/>
        <w:spacing w:lineRule="auto" w:line="276"/>
        <w:jc w:val="both"/>
        <w:rPr/>
      </w:pPr>
      <w:r>
        <w:rPr>
          <w:color w:val="000000"/>
          <w:sz w:val="26"/>
          <w:szCs w:val="26"/>
        </w:rPr>
        <w:t>- приведение в соответствие состояния дорог и фактического уровня транспортного спроса и развитие дорожной сети</w:t>
      </w:r>
      <w:r>
        <w:rPr>
          <w:color w:val="000000"/>
          <w:spacing w:val="2"/>
          <w:sz w:val="26"/>
          <w:szCs w:val="26"/>
        </w:rPr>
        <w:t xml:space="preserve"> населенных пунктов Лазовского муниципального округа</w:t>
      </w:r>
      <w:r>
        <w:rPr>
          <w:color w:val="000000"/>
          <w:sz w:val="26"/>
          <w:szCs w:val="26"/>
        </w:rPr>
        <w:t>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сохранение и развитие улично-дорожной сети населенных пунктов Лазовского муниципального округа;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обеспечение безопасности дорожного движения на территории населенных пунктов Лазовского муниципального округа;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pacing w:val="2"/>
          <w:sz w:val="26"/>
          <w:szCs w:val="26"/>
        </w:rPr>
        <w:t xml:space="preserve">- </w:t>
      </w:r>
      <w:r>
        <w:rPr>
          <w:color w:val="000000"/>
          <w:spacing w:val="1"/>
          <w:sz w:val="26"/>
          <w:szCs w:val="26"/>
        </w:rPr>
        <w:t>приобретение подвижного состава пассажирского транспорта;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pacing w:val="1"/>
          <w:sz w:val="26"/>
          <w:szCs w:val="26"/>
        </w:rPr>
        <w:t>- приобретение специализированной дорожной техники;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pacing w:val="1"/>
          <w:sz w:val="26"/>
          <w:szCs w:val="26"/>
        </w:rPr>
        <w:t>- создание условий для предоставления транспортных услуг.</w:t>
      </w:r>
    </w:p>
    <w:p>
      <w:pPr>
        <w:pStyle w:val="Normal"/>
        <w:widowControl w:val="false"/>
        <w:spacing w:lineRule="auto" w:line="276"/>
        <w:ind w:firstLine="600"/>
        <w:jc w:val="both"/>
        <w:rPr/>
      </w:pPr>
      <w:r>
        <w:rPr>
          <w:rFonts w:cs="Calibri"/>
          <w:color w:val="000000"/>
          <w:sz w:val="26"/>
          <w:szCs w:val="26"/>
        </w:rPr>
        <w:t>Решение поставленных задач возможно</w:t>
      </w:r>
      <w:r>
        <w:rPr>
          <w:rFonts w:cs="Calibri"/>
          <w:sz w:val="26"/>
          <w:szCs w:val="26"/>
        </w:rPr>
        <w:t xml:space="preserve"> за счет реализации комплекса программных мероприятий.</w:t>
      </w:r>
    </w:p>
    <w:p>
      <w:pPr>
        <w:pStyle w:val="Normal"/>
        <w:jc w:val="center"/>
        <w:rPr>
          <w:color w:val="000000"/>
          <w:sz w:val="26"/>
          <w:szCs w:val="26"/>
          <w:lang w:eastAsia="zh-CN"/>
        </w:rPr>
      </w:pPr>
      <w:r>
        <w:rPr>
          <w:color w:val="000000"/>
          <w:sz w:val="26"/>
          <w:szCs w:val="26"/>
          <w:lang w:eastAsia="zh-CN"/>
        </w:rPr>
      </w:r>
    </w:p>
    <w:p>
      <w:pPr>
        <w:pStyle w:val="Normal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4. Задачи обеспечения достижения показателей социально-экономического </w:t>
      </w:r>
    </w:p>
    <w:p>
      <w:pPr>
        <w:pStyle w:val="Normal"/>
        <w:jc w:val="center"/>
        <w:rPr/>
      </w:pPr>
      <w:r>
        <w:rPr>
          <w:b/>
          <w:bCs/>
          <w:color w:val="000000"/>
          <w:sz w:val="26"/>
          <w:szCs w:val="26"/>
        </w:rPr>
        <w:t>развития Лазовского муниципального округа 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2"/>
        <w:spacing w:lineRule="auto" w:line="276"/>
        <w:ind w:firstLine="703"/>
        <w:jc w:val="both"/>
        <w:rPr/>
      </w:pPr>
      <w:r>
        <w:rPr>
          <w:b w:val="false"/>
          <w:sz w:val="26"/>
          <w:szCs w:val="26"/>
        </w:rPr>
        <w:t>Повышение безопасности дорожного движения: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Усовершенствование дорожной инфраструктуры путем установки дорожных знаков, светофоров, систем освещения и других технических средств организации дорожного движения.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Реконструкция и модернизация существующих дорог с целью снижения аварийности.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Улучшение качества дорожного покрытия: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Регулярное техническое обслуживание и ремонт дорог для поддержания их в нормативном состоянии.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Реконструкция и модернизация дорог с плохим качеством покрытия.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Использование современных технологий и материалов для строительства новых дорог и ремонта существующих.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Улучшение экологической ситуации: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Улучшение состояния дорожного покрытия для снижения расхода топлива и выбросов парниковых газов.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Достижение этих задач будет способствовать повышению безопасности, комфорта и удобства передвижения населения, а также снижению воздействия дорожного движения на окружающую среду, что в свою очередь будет способствовать достижению показателей социально-экономического развития Лазовского муниципального округа в целом.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1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sz w:val="24"/>
          <w:szCs w:val="24"/>
        </w:rPr>
      </w:pPr>
      <w:bookmarkStart w:id="0" w:name="P381"/>
      <w:bookmarkEnd w:id="0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МУНИЦИПАЛЬНОЙ ПРОГРАММЫ</w:t>
      </w:r>
    </w:p>
    <w:p>
      <w:pPr>
        <w:pStyle w:val="ConsPlusNormal"/>
        <w:jc w:val="center"/>
        <w:rPr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4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6100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организация дорожной деятельности в отношении автомобильных дорог местного значения в границах населенных пунктов Лазовского муниципального округа;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обеспечение безопасности дорожного движения на территории населенных пунктов Лазовского муниципального округа;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приобретение подвижного состава пассажирского транспорта;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приобретение специализированной дорожной техники;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создание условий для предоставления транспортных услуг.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Куратор(ы)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Суханов Константин Викторович, первый заместитель главы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Начальники территориальных отделов администрации Лазовского муниципального округа;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архитектуры, градостроительства, земельных и имущественных отношений</w:t>
            </w:r>
          </w:p>
        </w:tc>
      </w:tr>
      <w:tr>
        <w:trPr>
          <w:trHeight w:val="1184" w:hRule="atLeast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Направления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Итого 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87155,9909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тыс. руб. в том числе:</w:t>
            </w:r>
          </w:p>
          <w:p>
            <w:pPr>
              <w:pStyle w:val="ConsPlusNormal"/>
              <w:widowControl w:val="false"/>
              <w:ind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МБ –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80210,13315 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КБ – 6945,85775 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2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Структура муниципальной программы</w:t>
      </w:r>
    </w:p>
    <w:p>
      <w:pPr>
        <w:pStyle w:val="ConsPlusNormal"/>
        <w:jc w:val="center"/>
        <w:rPr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4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19"/>
        <w:gridCol w:w="63"/>
        <w:gridCol w:w="1936"/>
        <w:gridCol w:w="559"/>
        <w:gridCol w:w="1699"/>
        <w:gridCol w:w="2703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2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Процессная часть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Комплекс процессных мероприятий (структурный элемент) «Комплексное управление и обслуживание дорожной инфраструктуры»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Систематизация строительства, ремонта и содержания дорог, обеспечивая их надёжность и безопасность для транспортного сообщения.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  <w:tc>
          <w:tcPr>
            <w:tcW w:w="2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эффективности и безопасности дорожного движения за счет качественного строительства, ремонта и систематического обслуживания дорожной сети.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Комплекс процессных мероприятий (структурный элемент) «Улучшение транспортной инфраструктуры и обновление транспортного парка»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Создании эффективной системы транспортного обслуживания и обновлении транспортного парка для повышения качества и доступности передвижения населения</w:t>
            </w:r>
          </w:p>
        </w:tc>
        <w:tc>
          <w:tcPr>
            <w:tcW w:w="19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  <w:tc>
          <w:tcPr>
            <w:tcW w:w="22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уровня комфорта и безопасности пассажирских перевозок, а также обновление  транспортной инфраструктуры</w:t>
            </w:r>
          </w:p>
        </w:tc>
        <w:tc>
          <w:tcPr>
            <w:tcW w:w="2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gutter="0" w:header="0" w:top="567" w:footer="0" w:bottom="709"/>
          <w:pgNumType w:fmt="decimal"/>
          <w:formProt w:val="false"/>
          <w:textDirection w:val="lrTb"/>
          <w:docGrid w:type="default" w:linePitch="36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3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Показатели и их значения в разрезе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структурных элементов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8"/>
        <w:gridCol w:w="2272"/>
        <w:gridCol w:w="2552"/>
        <w:gridCol w:w="1277"/>
        <w:gridCol w:w="1419"/>
        <w:gridCol w:w="1133"/>
        <w:gridCol w:w="1278"/>
        <w:gridCol w:w="1284"/>
        <w:gridCol w:w="1279"/>
        <w:gridCol w:w="1255"/>
      </w:tblGrid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направления, структурного элемента, 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6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>
        <w:trPr/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7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4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1.1 «Комплексное управление и обслуживание дорожной инфраструктуры»</w:t>
            </w:r>
          </w:p>
        </w:tc>
      </w:tr>
      <w:tr>
        <w:trPr/>
        <w:tc>
          <w:tcPr>
            <w:tcW w:w="6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Капитальный ремонт, ремонт автомобильных дорог и искусственных сооружений, за счет средств местного бюджета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капитально отремонтированных  автомобильных дорог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2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 отремонтированных  автомобильных дорог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0,50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27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2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2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нормативное состояние пешеходных переходов.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3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Приобретение и установка дорожных знаков, разметка пешеходных переходов и улично-дорожной сети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становка дорожных знаков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2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Разметка пешеходных переходов и улично-дорожной сети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4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Субсидии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работ в рамках софинансирования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27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5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элементов обустройства автомобильных дорог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водоотводящих элементов (дренажные канавы и лотки)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2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тротуаров и пешеходных дорожек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2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инженерных коммуникаций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724" w:hRule="atLeast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6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и восстановление уличного освещения, затраты на электроснабжение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 уличного освещения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2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уличного освещения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374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2.1 «Улучшение транспортной инфраструктуры и обновление транспортного парка»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(результат) 1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доступности услуг автомобильного пассажирского транспорта общего пользования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автобусных остановок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</w:p>
          <w:p>
            <w:pPr>
              <w:pStyle w:val="Normal"/>
              <w:widowControl w:val="false"/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(результат) 2</w:t>
            </w:r>
          </w:p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подвижного состава пассажирского транспорта и специализированной дорожной техники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приобретенного подвижного транспорта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(результат) 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транспортного обслуживания населения в границах муниципальных образования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действующих муниципальных маршрутов по перевозке  пассажиров и багажа наземным автомобильным общественным транспортом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gutter="0" w:header="0" w:top="993" w:footer="0" w:bottom="568"/>
          <w:pgNumType w:fmt="decimal"/>
          <w:formProt w:val="false"/>
          <w:titlePg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4</w:t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Финансовое обеспечение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5310" w:type="dxa"/>
        <w:jc w:val="left"/>
        <w:tblInd w:w="-1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0"/>
        <w:gridCol w:w="1894"/>
        <w:gridCol w:w="1786"/>
        <w:gridCol w:w="1985"/>
        <w:gridCol w:w="1420"/>
        <w:gridCol w:w="17"/>
        <w:gridCol w:w="1545"/>
        <w:gridCol w:w="1566"/>
        <w:gridCol w:w="26"/>
        <w:gridCol w:w="1390"/>
        <w:gridCol w:w="1429"/>
        <w:gridCol w:w="1540"/>
      </w:tblGrid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9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</w:tr>
      <w:tr>
        <w:trPr/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Муниципальная программа «Развитие дорожного комплекса на территории Лазовского муниципально-го округа» на 2025-2029 гг.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26507,99090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87155,9909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6945,85775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6945,85775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19562,13315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80210,13315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5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Структурный элемент 1.1 </w:t>
            </w:r>
            <w:r>
              <w:rPr>
                <w:sz w:val="24"/>
                <w:szCs w:val="24"/>
              </w:rPr>
              <w:t>Комплексное управление и обслуживание дорожной инфраструктуры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17825,66871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78473,66871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17825,66871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78473,66871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8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(результат)1.1.1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Капитальный ремонт, ремонт автомобильных дорог и искусственных сооружений, за счет средств местного бюджета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1409,03137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1409,03137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1409,03137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1409,03137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(результат)1.1.2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Содержание автомобильных дорог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14326,91735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66616,03739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14326,91735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66616,03739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8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(результат)1.1.3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Приобретение и установка дорожных знаков, разметка пешеходных переходов и улично-дорожной сети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2625,39845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2625,39845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18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(результат)1.1.4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Субсидии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1637,56285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1637,56285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18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(результат)1.1.5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элементов обустройства автомобильных дорог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18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(результат)1.1.6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Устройство и восстановление уличного освещения, затраты на электроснаб-жение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6185,63865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6185,63865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5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8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Структурный элемент 2.1</w:t>
            </w:r>
            <w:r>
              <w:rPr>
                <w:sz w:val="24"/>
                <w:szCs w:val="24"/>
              </w:rPr>
              <w:t xml:space="preserve"> Улучшение транспортной инфраструктуры и обновление транспортного парка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8682,32219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8682,32219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6945,85775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6945,85775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1736,46444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1736,46444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8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Мероприятие (результат)2.1.1</w:t>
            </w:r>
            <w:r>
              <w:rPr>
                <w:sz w:val="24"/>
                <w:szCs w:val="24"/>
              </w:rPr>
              <w:t xml:space="preserve"> Обеспечение доступности услуг автомобильного пассажирского транспорта общего пользования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18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Мероприятие (результат)2.1.2.</w:t>
            </w:r>
            <w:r>
              <w:rPr>
                <w:sz w:val="24"/>
                <w:szCs w:val="24"/>
              </w:rPr>
              <w:t xml:space="preserve"> Приобретение подвижного состава пассажирского транспорта и специализированной дорожной техники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4350,000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4350,000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3480,000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3480,000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870,000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870,000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18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(результат) 2.1.3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транспортного обслуживания населения в границах муниципальных образования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gutter="0" w:header="0" w:top="993" w:footer="0" w:bottom="850"/>
          <w:pgNumType w:fmt="decimal"/>
          <w:formProt w:val="false"/>
          <w:titlePg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5</w:t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157"/>
      <w:bookmarkEnd w:id="1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Normal"/>
        <w:widowControl w:val="false"/>
        <w:ind w:hanging="108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«Комплексное управление и обслуживание дорожной инфраструктуры»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2304"/>
        <w:gridCol w:w="1701"/>
        <w:gridCol w:w="1561"/>
        <w:gridCol w:w="1704"/>
        <w:gridCol w:w="1569"/>
        <w:gridCol w:w="1562"/>
        <w:gridCol w:w="1538"/>
      </w:tblGrid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Систематизация строительства, ремонта и содержания дорог, обеспечивая их надёжность и безопасность для транспортного сообщения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78473,66871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17825,66871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3"/>
              <w:widowControl w:val="fals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78473,66871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17825,66871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15162,000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Показатели структурного элемента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показателя, ед. изм.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капитально отремонтированных автомобильных дорог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(Км.)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 отремонтированных  автомобильных дорог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(Км.)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(Км.)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нормативное состояние пешеходных переходов.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Разметка пешеходных переходов и улично-дорожной сети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работ в рамках софинансирования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водоотводящих элементов (дренажные канавы и лотки)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тротуаров и пешеходных дорожек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инженерных коммуникаций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 уличного освещения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уличного освещения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gutter="0" w:header="0" w:top="993" w:footer="0" w:bottom="851"/>
          <w:pgNumType w:fmt="decimal"/>
          <w:formProt w:val="false"/>
          <w:titlePg/>
          <w:textDirection w:val="lrTb"/>
          <w:docGrid w:type="default" w:linePitch="272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6</w:t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15711"/>
      <w:bookmarkEnd w:id="2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Normal"/>
        <w:widowControl w:val="false"/>
        <w:ind w:hanging="108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«Улучшение транспортной инфраструктуры и обновление транспортного парка»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1880"/>
        <w:gridCol w:w="1558"/>
        <w:gridCol w:w="1704"/>
        <w:gridCol w:w="1701"/>
        <w:gridCol w:w="1705"/>
        <w:gridCol w:w="1710"/>
        <w:gridCol w:w="1681"/>
      </w:tblGrid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«Транспорт и логистика»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Создании эффективной системы транспортного обслуживания и обновлении транспортного парка для повышения качества и доступности передвижения населения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6945,85775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6945,85775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1736,46444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1736,46444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8682,32219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8682,32219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Показатели структурного элемента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показателя, ед. изм.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автобусных остановок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приобретенного подвижного транспорта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(Ед.)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действующих муниципальных маршрутов по перевозке  пассажиров и багажа наземным автомобильным общественным транспортом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(Ед.)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gutter="0" w:header="0" w:top="851" w:footer="0" w:bottom="851"/>
          <w:pgNumType w:fmt="decimal"/>
          <w:formProt w:val="false"/>
          <w:titlePg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7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План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реализации комплекса процессных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очередной финансовый год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0"/>
        <w:gridCol w:w="3174"/>
        <w:gridCol w:w="1787"/>
        <w:gridCol w:w="138"/>
        <w:gridCol w:w="1422"/>
        <w:gridCol w:w="7088"/>
      </w:tblGrid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направления, мероприятия/контрольная точка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наступления контрольной точки (дата, месяц)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 документа, подтверждающий факт достижения контрольного события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3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(структурный элемент)</w:t>
            </w:r>
          </w:p>
          <w:p>
            <w:pPr>
              <w:pStyle w:val="Normal"/>
              <w:widowControl w:val="false"/>
              <w:ind w:hanging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«Комплексное управление и обслуживание дорожной инфраструктуры»</w:t>
            </w:r>
          </w:p>
        </w:tc>
      </w:tr>
      <w:tr>
        <w:trPr/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1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Субсидии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контрольной точки: получение субсидий.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Занесение в план — график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25.03.2025г.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Электронный план - график</w:t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Заключение контракта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закупок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09.05.2025г.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Подписание контракта</w:t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Исполнение контракта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01.09.2025г.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акт о приемке выполненных работ и справку о стоимости выполненных работ и затрат унифицированные формы КС-2 и КС-3 (утвержденные Постановлением Госкомстата РФ №100 от 11.11.1999 г.)</w:t>
            </w:r>
          </w:p>
        </w:tc>
      </w:tr>
      <w:tr>
        <w:trPr/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Оплата исполненного контракта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28.09.2025г.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Счет на оплату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60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(структурный элемент) «Улучшение транспортной инфраструктуры и обновление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транспортного парка»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(результат) 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«Организация транспортного обслуживания населения в границах муниципальных образования»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контрольной точки: контракт на регулярную перевозку пассажиров и багажа по маршруту «Валентин – Лазо – Преображение.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Занесение в план — график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09.01.2025г.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Электронный план - график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Заключение контракта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закупок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24.02.2025г.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Подписание контракта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Исполнение контракта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31.12.2025г.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акт о приемке выполненных работ и справку о стоимости выполненных работ и затрат унифицированные формы КС-2 и КС-3 (утвержденные Постановлением Госкомстата РФ №100 от 11.11.1999 г.)</w:t>
            </w:r>
          </w:p>
        </w:tc>
      </w:tr>
      <w:tr>
        <w:trPr/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Оплата исполненного контракта</w:t>
            </w:r>
          </w:p>
        </w:tc>
        <w:tc>
          <w:tcPr>
            <w:tcW w:w="19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15.12.2025г.</w:t>
            </w:r>
          </w:p>
        </w:tc>
        <w:tc>
          <w:tcPr>
            <w:tcW w:w="7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Счет на оплату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gutter="0" w:header="0" w:top="1135" w:footer="0" w:bottom="851"/>
          <w:pgNumType w:fmt="decimal"/>
          <w:formProt w:val="false"/>
          <w:titlePg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8</w:t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1475"/>
      <w:bookmarkEnd w:id="3"/>
      <w:r>
        <w:rPr>
          <w:rFonts w:cs="Times New Roman" w:ascii="Times New Roman" w:hAnsi="Times New Roman"/>
          <w:sz w:val="24"/>
          <w:szCs w:val="24"/>
        </w:rPr>
        <w:t>МЕТОДИКА РАСЧЕТА ПОКАЗАТЕЛЕЙ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2331"/>
        <w:gridCol w:w="1297"/>
        <w:gridCol w:w="2956"/>
        <w:gridCol w:w="2692"/>
        <w:gridCol w:w="4536"/>
      </w:tblGrid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Периодичность представления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капитально отремонтированных  автомобильных дорог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капитальному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 отремонтированных  автомобильных дорог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 дорог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Исполнение работ по муниципальному контракту по содержанию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нормативное состояние пешеходных переходов.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Приобретение и установка дорожных знаков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Разметка пешеходных переходов и улично-дорожной сети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работ в рамках софинансирования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водоотводящих элементов (дренажные канавы и лотки)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тротуаров и пешеходных дорожек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инженерных коммуникаций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 уличного освещения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уличного освещения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автобусных остановок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действующих муниципальных маршрутов по перевозке  пассажиров и багажа наземным автомобильным общественным транспортом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количеству заключенных муниципальных контрактов по перевозкам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приобретенного подвижного транспорта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количеству приобретенного подвижного транспорта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</w:tbl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>
          <w:sz w:val="24"/>
          <w:szCs w:val="24"/>
        </w:rPr>
      </w:pPr>
      <w:r>
        <w:rPr/>
      </w:r>
    </w:p>
    <w:sectPr>
      <w:type w:val="nextPage"/>
      <w:pgSz w:orient="landscape" w:w="16838" w:h="11906"/>
      <w:pgMar w:left="1134" w:right="1134" w:gutter="0" w:header="0" w:top="1701" w:footer="0" w:bottom="851"/>
      <w:pgNumType w:fmt="decimal"/>
      <w:formProt w:val="false"/>
      <w:textDirection w:val="lrTb"/>
      <w:docGrid w:type="default" w:linePitch="1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20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-" w:customStyle="1">
    <w:name w:val="Hyperlink"/>
    <w:unhideWhenUsed/>
    <w:rsid w:val="00297062"/>
    <w:rPr>
      <w:color w:val="0563C1"/>
      <w:u w:val="single"/>
    </w:rPr>
  </w:style>
  <w:style w:type="character" w:styleId="Style10" w:customStyle="1">
    <w:name w:val="FollowedHyperlink"/>
    <w:uiPriority w:val="99"/>
    <w:unhideWhenUsed/>
    <w:rsid w:val="00297062"/>
    <w:rPr>
      <w:color w:val="954F72"/>
      <w:u w:val="single"/>
    </w:rPr>
  </w:style>
  <w:style w:type="character" w:styleId="Style11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1" w:customStyle="1">
    <w:name w:val="Основной шрифт абзаца1"/>
    <w:qFormat/>
    <w:rsid w:val="00353092"/>
    <w:rPr/>
  </w:style>
  <w:style w:type="character" w:styleId="Style12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3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-style-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4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5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6" w:customStyle="1">
    <w:name w:val="Цветовое выделение"/>
    <w:qFormat/>
    <w:rsid w:val="00353092"/>
    <w:rPr>
      <w:b/>
      <w:bCs/>
      <w:color w:val="000080"/>
    </w:rPr>
  </w:style>
  <w:style w:type="character" w:styleId="Style17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8" w:customStyle="1">
    <w:name w:val="Символ нумерации"/>
    <w:qFormat/>
    <w:rsid w:val="00353092"/>
    <w:rPr/>
  </w:style>
  <w:style w:type="character" w:styleId="13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19" w:customStyle="1">
    <w:name w:val="Заголовок"/>
    <w:basedOn w:val="Normal"/>
    <w:next w:val="Style20"/>
    <w:qFormat/>
    <w:rsid w:val="006b7773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1">
    <w:name w:val="List"/>
    <w:basedOn w:val="Style20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2" w:customStyle="1">
    <w:name w:val="Caption"/>
    <w:basedOn w:val="Normal"/>
    <w:qFormat/>
    <w:rsid w:val="006b777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6b7773"/>
    <w:pPr>
      <w:suppressLineNumbers/>
    </w:pPr>
    <w:rPr>
      <w:rFonts w:cs="Arial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6b7773"/>
    <w:pPr>
      <w:spacing w:before="280" w:after="280"/>
    </w:pPr>
    <w:rPr/>
  </w:style>
  <w:style w:type="paragraph" w:styleId="Style24" w:customStyle="1">
    <w:name w:val="Верхний и нижний колонтитулы"/>
    <w:basedOn w:val="Normal"/>
    <w:qFormat/>
    <w:rsid w:val="006b7773"/>
    <w:pPr/>
    <w:rPr/>
  </w:style>
  <w:style w:type="paragraph" w:styleId="Style25">
    <w:name w:val="Колонтитул"/>
    <w:basedOn w:val="Normal"/>
    <w:qFormat/>
    <w:pPr/>
    <w:rPr/>
  </w:style>
  <w:style w:type="paragraph" w:styleId="Style26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7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8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4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5" w:customStyle="1">
    <w:name w:val="Заголовок1"/>
    <w:basedOn w:val="Normal"/>
    <w:next w:val="Style20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6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7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29">
    <w:name w:val="Subtitle"/>
    <w:basedOn w:val="Normal"/>
    <w:next w:val="Style20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30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1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2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3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4" w:customStyle="1">
    <w:name w:val="Заголовок таблицы"/>
    <w:basedOn w:val="Style33"/>
    <w:qFormat/>
    <w:rsid w:val="00353092"/>
    <w:pPr>
      <w:jc w:val="center"/>
    </w:pPr>
    <w:rPr>
      <w:b/>
      <w:bCs/>
    </w:rPr>
  </w:style>
  <w:style w:type="paragraph" w:styleId="Style35" w:customStyle="1">
    <w:name w:val="Содержимое врезки"/>
    <w:basedOn w:val="Normal"/>
    <w:qFormat/>
    <w:rsid w:val="006b7773"/>
    <w:pPr/>
    <w:rPr/>
  </w:style>
  <w:style w:type="paragraph" w:styleId="Conspluscell1" w:customStyle="1">
    <w:name w:val="conspluscell"/>
    <w:basedOn w:val="Normal"/>
    <w:qFormat/>
    <w:rsid w:val="006b7773"/>
    <w:pPr>
      <w:suppressAutoHyphens w:val="true"/>
      <w:spacing w:before="280" w:after="280"/>
    </w:pPr>
    <w:rPr>
      <w:rFonts w:cs="Calibri"/>
    </w:rPr>
  </w:style>
  <w:style w:type="paragraph" w:styleId="Formattexttopleveltext" w:customStyle="1">
    <w:name w:val="formattext topleveltext"/>
    <w:basedOn w:val="Normal"/>
    <w:qFormat/>
    <w:rsid w:val="006b7773"/>
    <w:pPr>
      <w:spacing w:before="280" w:after="280"/>
    </w:pPr>
    <w:rPr/>
  </w:style>
  <w:style w:type="paragraph" w:styleId="Subheader" w:customStyle="1">
    <w:name w:val="subheader"/>
    <w:basedOn w:val="Normal"/>
    <w:qFormat/>
    <w:rsid w:val="006b7773"/>
    <w:pPr>
      <w:spacing w:before="150" w:after="75"/>
    </w:pPr>
    <w:rPr>
      <w:rFonts w:ascii="Arial" w:hAnsi="Arial" w:cs="Arial"/>
      <w:b/>
      <w:bCs/>
      <w:color w:val="000000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18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23" w:customStyle="1">
    <w:name w:val="Нет списка2"/>
    <w:uiPriority w:val="99"/>
    <w:semiHidden/>
    <w:unhideWhenUsed/>
    <w:qFormat/>
    <w:rsid w:val="00353092"/>
  </w:style>
  <w:style w:type="numbering" w:styleId="WW8Num2" w:customStyle="1">
    <w:name w:val="WW8Num2"/>
    <w:qFormat/>
    <w:rsid w:val="006b7773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5D15-0CA8-4BED-BF9E-68AD55DD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2394</TotalTime>
  <Application>LibreOffice/7.5.5.2$Windows_X86_64 LibreOffice_project/ca8fe7424262805f223b9a2334bc7181abbcbf5e</Application>
  <AppVersion>15.0000</AppVersion>
  <Pages>26</Pages>
  <Words>3760</Words>
  <Characters>27535</Characters>
  <CharactersWithSpaces>30356</CharactersWithSpaces>
  <Paragraphs>1200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2024-11-15T15:16:00Z</cp:lastPrinted>
  <dcterms:modified xsi:type="dcterms:W3CDTF">2025-08-28T08:52:03Z</dcterms:modified>
  <cp:revision>211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